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20 110 vom 14. Oktober 2022</w:t>
      </w:r>
    </w:p>
    <w:p>
      <w:r>
        <w:t>VS Kantonsgericht, 2022-10-14, FR</w:t>
      </w:r>
    </w:p>
    <w:p>
      <w:r>
        <w:rPr>
          <w:b/>
        </w:rPr>
        <w:t xml:space="preserve">Quelle: </w:t>
      </w:r>
      <w:r>
        <w:t>https://mcp.opencaselaw.ch/entscheid/vs_gerichte_P1 20 110</w:t>
      </w:r>
    </w:p>
    <w:p>
      <w:r>
        <w:t>FR: VS_GERICHTE P1 20 110 du 14 octobre 2022</w:t>
      </w:r>
    </w:p>
    <w:p>
      <w:r>
        <w:t>IT: VS_GERICHTE P1 20 110 del 14 ottobre 2022</w:t>
      </w:r>
    </w:p>
    <w:p>
      <w:pPr>
        <w:pStyle w:val="Heading2"/>
      </w:pPr>
      <w:r>
        <w:t>Regeste</w:t>
      </w:r>
    </w:p>
    <w:p>
      <w:r>
        <w:t>P1 20 110 JUGEMENT DU 14 OCTOBRE 2022 Tribunal cantonal du Valais Cour pénale I Jérôme Emonet, juge; Mathieu Barras, greffier ad hoc; en la cause Ministère public du canton du Valais, appelé, représenté par X _________, Substitut du procureur auprès de l’Office régional du Bas-Valais, à St-Maurice, contre Y _________, prévenu et appelant, représenté par Maître Damien Hottelier, avocat à Monthey. (art. 115 al. 1 let. b LEI) Appel contre le jugement du 25 novembre 2020 rendu par le Tribunal de Martigny et St-Maurice</w:t>
      </w:r>
    </w:p>
    <w:p>
      <w:pPr>
        <w:pStyle w:val="Heading2"/>
      </w:pPr>
      <w:r>
        <w:t>Erwägungen</w:t>
      </w:r>
    </w:p>
    <w:p>
      <w:r>
        <w:rPr>
          <w:b/>
        </w:rPr>
        <w:t>E. 3.1</w:t>
      </w:r>
    </w:p>
    <w:p>
      <w:r>
        <w:t>L’article 115 alinéa 4 LEI prévoit que lorsqu’une procédure de renvoi ou d’expulsion est pendante, une procédure pénale ouverte sur la seule base d’une infraction visée à l’alinéa 1, lettre a, b ou d est suspendue jusqu’à la clôture définitive de la procédure de renvoi ou d’expulsion. Lorsqu’une procédure de renvoi ou d’expulsion est prévue, la procédure pénale peut être suspendue.</w:t>
      </w:r>
    </w:p>
    <w:p>
      <w:r>
        <w:rPr>
          <w:b/>
        </w:rPr>
        <w:t>E. 3.2</w:t>
      </w:r>
    </w:p>
    <w:p>
      <w:r>
        <w:t>En l’espèce, bien que le prévenu ne dispose plus de titre de séjour et que le délai lui ayant été imparti pour quitter la Suisse est échu depuis plusieurs années, aucune procédure de renvoi n’est pendante ni même planifiée. Partant, la présente procédure pénale suit son cours.</w:t>
      </w:r>
    </w:p>
    <w:p>
      <w:r>
        <w:rPr>
          <w:b/>
        </w:rPr>
        <w:t>E. 4.1</w:t>
      </w:r>
    </w:p>
    <w:p>
      <w:r>
        <w:t>Le prévenu remet d’abord en cause le bien-fondé du refus de prolonger son autorisation de séjour en invoquant une violation de l’article 8 CEDH. Il soutient que, comme la Convention européenne des droits de l’Homme astreindrait la Suisse à prolonger l’autorisation de séjour sauf à violer l’article précité, celle-ci ne pourrait a fortiori pas prononcer une sanction pénale découlant de la présence du prévenu chez elle.</w:t>
      </w:r>
    </w:p>
    <w:p>
      <w:r>
        <w:t>- 7 -</w:t>
      </w:r>
    </w:p>
    <w:p>
      <w:r>
        <w:rPr>
          <w:b/>
        </w:rPr>
        <w:t>E. 4.2</w:t>
      </w:r>
    </w:p>
    <w:p>
      <w:r>
        <w:t>Le pouvoir d’examen préjudiciel du juge pénal concernant la légalité d’une décision administrative à la base d’une infraction pénale varie selon trois différentes hypothèses. Premièrement, lorsqu’un tribunal administratif s’est déjà prononcé sur la légalité de la décision administrative, le juge pénal ne peut plus revoir sa légalité. Deuxièmement, lorsqu’un recours au tribunal administratif aurait pu être soulevé, mais l’accusé ne l’a pas fait ou, s'il l'a fait, lorsque la décision n'a pas encore été rendue, le contrôle de légalité par le tribunal pénal est possible, mais est limité à la violation manifeste de la loi et à l’abus manifeste du pouvoir d'appréciation. Troisièmement, le juge pénal peut contrôler librement la légalité et l’abus du pouvoir d’appréciation d’une décision administrative lorsqu’aucun recours auprès d’un tribunal administratif n’est admis contre celle-ci (ATF 129 IV 246 consid. 2.1 et 2.2, traduit in JdT 2005 IV 28).</w:t>
      </w:r>
    </w:p>
    <w:p>
      <w:r>
        <w:rPr>
          <w:b/>
        </w:rPr>
        <w:t>E. 4.3</w:t>
      </w:r>
    </w:p>
    <w:p>
      <w:r>
        <w:t>En l’espèce, par jugement du 25 février 2019, la Cour de droit public du Tribunal cantonal a examiné la décision du 26 janvier 2017 prononcée par le SPM, soit la décision sur laquelle se fonde la poursuite pénale en cause. Ce jugement est d’ailleurs entré en force. Il n’y a dès lors pas lieu d’en examiner le bien-fondé à titre préjudiciel.</w:t>
      </w:r>
    </w:p>
    <w:p>
      <w:r>
        <w:rPr>
          <w:b/>
        </w:rPr>
        <w:t>E. 5.1</w:t>
      </w:r>
    </w:p>
    <w:p>
      <w:r>
        <w:t>Aux termes de l'article 115 alinéa 1 lettre b LEI, est puni d'une peine privative de liberté d'un an au plus ou d'une peine pécuniaire quiconque séjourne illégalement en Suisse, notamment après l'expiration de la durée du séjour non soumis à autorisation ou du séjour autorisé.</w:t>
      </w:r>
    </w:p>
    <w:p>
      <w:r>
        <w:rPr>
          <w:b/>
        </w:rPr>
        <w:t>E. 5.2</w:t>
      </w:r>
    </w:p>
    <w:p>
      <w:r>
        <w:t>Le premier juge a dûment exposé les conditions d'application de l’article 115 alinéa 1 lettre b LEI ainsi que son interprétation par la jurisprudence et la doctrine; il convient de s’y référer (cf. jugement entrepris, consid. 6.2.1).</w:t>
      </w:r>
    </w:p>
    <w:p>
      <w:r>
        <w:rPr>
          <w:b/>
        </w:rPr>
        <w:t>E. 5.3</w:t>
      </w:r>
    </w:p>
    <w:p>
      <w:r>
        <w:t>En l’espèce, le SPM a valablement décidé de ne pas prolonger l’autorisation de séjour du prévenu par décision du 26 janvier 2017. Cette décision est entrée en force avec le jugement du 25 février 2019 rendu par la Cour de droit public du Tribunal cantonal. Tant la première demande de reconsidération du 5 juillet 2019 que la seconde du 13 septembre 2019 – portée jusqu’au Tribunal fédéral – n’ont permis de la remettre en cause. Fort de sa décision confirmée par l’autorité judiciaire, le 11 juin 2019, le SPM a imparti au prévenu un délai au 11 juillet 2019 pour quitter la Suisse, puis, le 30 août 2019, lui a fixé un ultime délai au 15 septembre 2019 pour s’exécuter. Ainsi, dès le 12 juillet 2019 jusqu’au 29 août 2019, puis du 16 septembre 2019 jusqu’au 27 novembre 2019, veille de sa mise en détention au centre LMC, l’appelant se trouvait en Suisse sans</w:t>
      </w:r>
    </w:p>
    <w:p>
      <w:r>
        <w:t>- 8 - autorisation. Bien qu’il fût titulaire d’un passeport turc valable lui permettant de rentrer légalement en Turquie, il ne s’est pas conformé à l’injonction de quitter la Suisse signifiée par l’autorité. En somme, sans en être empêché par des motifs objectifs, le prévenu a consciemment et volontairement séjourné en Suisse du 12 juillet 2019 au 29 août 2019, puis du 16 septembre 2019 au 27 novembre 2019 sans permis de séjour. Partant, il a commis l’infraction de séjour illégal au sens de l’article 115 alinéa 1 lettre b LEI.</w:t>
      </w:r>
    </w:p>
    <w:p>
      <w:r>
        <w:rPr>
          <w:b/>
        </w:rPr>
        <w:t>E. 6.1</w:t>
      </w:r>
    </w:p>
    <w:p>
      <w:r>
        <w:t>En tout état de cause, le prévenu conteste l’illicéité de son comportement en se prévalant de l’état de nécessité licite (art. 17 CP). Le fait, premièrement, qu’il ne dépendrait bientôt plus de l’aide sociale mais des prestations complémentaires de la LAVS, deuxièmement, qu’il ne pourrait pas bénéficier de soins adéquats en Turquie et, troisièmement, que ses origines kurdes le mettraient en danger en cas de retour en Turquie, l’aurait placé dans un état de nécessité lui ayant permis d’enfreindre licitement l’article 115 alinéa 1 lettre b LEI.</w:t>
      </w:r>
    </w:p>
    <w:p>
      <w:r>
        <w:rPr>
          <w:b/>
        </w:rPr>
        <w:t>E. 6.2</w:t>
      </w:r>
    </w:p>
    <w:p>
      <w:r>
        <w:t>L'art. 17 CP dispose que quiconque commet un acte punissable pour préserver d'un danger imminent et impossible à éviter autrement un bien juridique lui appartenant ou appartenant à un tiers agit de manière licite s'il sauvegarde ainsi des intérêts prépondérants. L'impossibilité que le danger puisse être détourné autrement implique une subsidiarité absolue (ATF 146 IV 297 consid. 2.2.1 p. 303; arrêts 6B_1379/2019 du 13 août 2020 consid. 7.2 et 6B_713/2018 du 21 novembre 2018 consid. 4.1). La question de savoir si cette condition est réalisée doit être examinée en fonction des circonstances concrètes du cas (ATF 122 IV 1 consid. 4 p. 7 s.; 101 IV 4 consid. 1 p. 5 s.; arrêts 6B_231/2016 du 21 juin 2016 consid. 2.2 et 6B_603/2015 du 30 septembre 2015 consid. 4.2). En particulier, celui qui dispose de moyens licites pour préserver le bien juridique menacé ne peut pas se prévaloir de l'état de nécessité (arrêts 6B_693/2017 précité consid. 3.1; 6B_343/2016 du 30 juin 2016 consid. 4.2; 6B_1056/2013 du 20 août 2014 consid. 5.1 et les références citées). L'exécution de l'acte préjudiciable doit constituer le moyen unique et adéquat pour préserver le bien en danger.</w:t>
      </w:r>
    </w:p>
    <w:p>
      <w:r>
        <w:rPr>
          <w:b/>
        </w:rPr>
        <w:t>E. 6.3</w:t>
      </w:r>
    </w:p>
    <w:p>
      <w:r>
        <w:t>En l’espèce, tant sa situation financière que son état de santé et ses origines ont déjà été invoqués devant les autorités administratives. Toutefois, ces éléments n’ont pas</w:t>
      </w:r>
    </w:p>
    <w:p>
      <w:r>
        <w:t>- 9 - suffi à ce que la Cour de droit public du Tribunal cantonal réforme ou annule la décision litigieuse. Ladite cour, au travers de l’examen du respect des articles 62 alinéa 1 lettre e et 96 LEtr (devenue LEI, nouveau titre dès le xx.xx. 2019) ainsi que des articles 30 alinéa 1 lettre b LEtr et 31 de l’Ordonnance relative à l’admission, au séjour et à l’exercice d’une activité lucrative du 24 octobre 2007 (RS 142.201; OASA) a déjà jugé que les biens juridiques que le prévenu souhaitait préserver en violant l’article 115 alinéa 1 lettre b LEI étaient moins importants que les biens juridiques protégés par l’article précité. Partant, l’article 17 CP n’est pas applicable en l’espèce, faute d’intérêt prépondérant. Du reste, même à supposer que le prévenu disposât d’un motif justifiant qu’il restât en Suisse du 16 septembre au 27 novembre 2019, il lui appartenait, du moins sous l’angle de l’article 17 CP, de le faire valoir auprès des autorités administratives exclusivement. En effet, le caractère absolument subsidiaire de l’état de nécessité licite interdit au juge pénal de revoir des décisions administratives au travers de ce prisme, car la procédure administrative prévoit déjà tous les mécanismes de correction nécessaires au respect des droits fondamentaux et de la CEDH, rendant ainsi l’intervention du juge pénal superflue dans ce domaine. Partant, en tout état de cause, le prévenu disposait d’un moyen licite pour ne pas contrevenir à l’article 115 alinéa 1 lettre b LEI, si bien que la condition de subsidiarité de l’état de nécessité n’est pas remplie en l’espèce.</w:t>
      </w:r>
    </w:p>
    <w:p>
      <w:r>
        <w:rPr>
          <w:b/>
        </w:rPr>
        <w:t>E. 7.1</w:t>
      </w:r>
    </w:p>
    <w:p>
      <w:r>
        <w:t>Le prévenu n'a contesté ni la mesure de la peine ni l’absence d’octroi du sursis, dans l'hypothèse où la condamnation devait être confirmée. Il convient cependant de tenir compte de deux éléments propres à influencer la quotité de la peine. D’une part le temps écoulé depuis le dépôt de l’appel (22 mois) qui impose le constat d’une violation du principe de célérité, d’autre part les trois condamnations pour séjour illégal prononcées par ordonnances pénales postérieures à la déclaration d’appel prévoyant des peines respectives de 40 jours-amende à 10 fr. le jour et de 40 jours et 20 jours de peine privative de liberté.</w:t>
      </w:r>
    </w:p>
    <w:p>
      <w:r>
        <w:rPr>
          <w:b/>
        </w:rPr>
        <w:t>E. 7.2</w:t>
      </w:r>
    </w:p>
    <w:p>
      <w:r>
        <w:t>Le séjour illégal est un délit continu. L'infraction est achevée au moment où le séjour prend fin.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145 IV 449 consid. 1.1 et 135 IV 6 consid. 3.2).</w:t>
      </w:r>
    </w:p>
    <w:p>
      <w:r>
        <w:t>- 10 -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145 IV 449 consid. 1.1 et 135 IV 6 consid. 4.2).</w:t>
      </w:r>
    </w:p>
    <w:p>
      <w:r>
        <w:rPr>
          <w:b/>
        </w:rPr>
        <w:t>E. 7.3</w:t>
      </w:r>
    </w:p>
    <w:p>
      <w:r>
        <w:t>En l’espèce, les différentes infractions à l’article 115 alinéa 1 lettre b procèdent d’une même intention délictueuse, si bien que la culpabilité du prévenu doit être considérée dans son ensemble. Compte tenu des peines déjà infligées, soit 60 jours de peine privative de liberté et 40 jours-amende à 10 fr. le jour, ainsi que de la violation du principe de célérité, il n’y a pas lieu de prononcer une peine complémentaire.</w:t>
      </w:r>
    </w:p>
    <w:p>
      <w:r>
        <w:rPr>
          <w:b/>
        </w:rPr>
        <w:t>E. 8.1</w:t>
      </w:r>
    </w:p>
    <w:p>
      <w:r>
        <w:t>Le montant des frais d’instruction (450 fr.) et de première instance (500 fr.) n’étant pas contesté d’une part et la décision de première instance n’étant réformée qu’en raison de faits survenus après le dépôt de l’appel d’autre part, l’ampleur de ces frais peut ainsi être confirmée (art. 428 al. 2 let. a et al. 3 a contrario CPP) et ceux-ci doivent rester à la charge du prévenu (art. 426 al. 1 CPP). Pour la même raison, l’intéressé ne peut prétendre à une indemnité pour les dépenses occasionnées par l’exercice de ses droits de procédure en première instance (ATF 137 IV 352 consid. 2.4.2).</w:t>
      </w:r>
    </w:p>
    <w:p>
      <w:r>
        <w:rPr>
          <w:b/>
        </w:rPr>
        <w:t>E. 8.2</w:t>
      </w:r>
    </w:p>
    <w:p>
      <w:r>
        <w:t>En raison de la situation financière obérée du prévenu et de son départ inéluctable de la Suisse, il n'est exceptionnellement pas perçu de frais pour la présente procédure d’appel (art. 14 al. 2 LTar).</w:t>
      </w:r>
    </w:p>
    <w:p>
      <w:r>
        <w:rPr>
          <w:b/>
        </w:rPr>
        <w:t>E. 8.3</w:t>
      </w:r>
    </w:p>
    <w:p>
      <w:r>
        <w:t>Dès lors que la réforme du premier jugement résulte de la violation du principe de célérité en appel et des condamnations subies par l’appelant après la déclaration d’appel, les dépens à allouer pour cette procédure sont réduits de moitié en application de l’article 428 alinéa 2 lettre a CPP.</w:t>
      </w:r>
    </w:p>
    <w:p>
      <w:r>
        <w:t>- 11 - Les dépens peuvent osciller entre 1100 fr. et 8800 fr. (art. 36 LTar). L’activité du défenseur a consisté à rédiger l’écriture de l’appel, à préparer les débats et à y participer (durée 45 minutes). Elle justifie, après réduction, une indemnité de 650 fr., débours compris, à titre de dépens.</w:t>
      </w:r>
    </w:p>
    <w:p>
      <w:r>
        <w:rPr>
          <w:b/>
        </w:rPr>
        <w:t>E. 9</w:t>
      </w:r>
    </w:p>
    <w:p>
      <w:r>
        <w:t>En vertu de l’article 97 alinéa 3 lettre b LEI et de l’article 3 chiffre 1 de l’Ordonnance réglant la communication des décisions pénales prises par les autorités cantonales (RS 312.3), les autorités cantonales sont tenues de communiquer au Secrétariat d’État aux migrations tous les jugements, prononcés administratifs et ordonnances de non-lieu rendus en application de la LEI. Partant, le présent jugement sera communiqué au Secrétariat d’État aux migrations, une fois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